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69" w:rsidRDefault="00F94141" w:rsidP="00EE72F7">
      <w:pPr>
        <w:jc w:val="center"/>
        <w:rPr>
          <w:b/>
          <w:lang w:val="nl-NL"/>
        </w:rPr>
      </w:pPr>
      <w:r>
        <w:rPr>
          <w:b/>
          <w:lang w:val="nl-NL"/>
        </w:rPr>
        <w:t xml:space="preserve">QUY </w:t>
      </w:r>
      <w:r w:rsidR="00EE72F7">
        <w:rPr>
          <w:b/>
          <w:lang w:val="nl-NL"/>
        </w:rPr>
        <w:t>ĐỊNH CỦA CUỘC THI</w:t>
      </w:r>
    </w:p>
    <w:p w:rsidR="00EE72F7" w:rsidRDefault="00EE72F7" w:rsidP="00B42569">
      <w:pPr>
        <w:jc w:val="center"/>
        <w:rPr>
          <w:b/>
          <w:lang w:val="nl-NL"/>
        </w:rPr>
      </w:pPr>
      <w:r>
        <w:rPr>
          <w:b/>
          <w:lang w:val="nl-NL"/>
        </w:rPr>
        <w:t xml:space="preserve">THI TUYỂN PHƯƠNG ÁN THIẾT KẾ KIẾN TRÚC </w:t>
      </w:r>
    </w:p>
    <w:p w:rsidR="00100B2E" w:rsidRPr="00B42569" w:rsidRDefault="00EE72F7" w:rsidP="00B42569">
      <w:pPr>
        <w:jc w:val="center"/>
        <w:rPr>
          <w:b/>
          <w:lang w:val="nl-NL"/>
        </w:rPr>
      </w:pPr>
      <w:r>
        <w:rPr>
          <w:b/>
          <w:lang w:val="nl-NL"/>
        </w:rPr>
        <w:t xml:space="preserve">CÔNG TRÌNH </w:t>
      </w:r>
      <w:r w:rsidR="00100B2E">
        <w:rPr>
          <w:b/>
          <w:lang w:val="nl-NL"/>
        </w:rPr>
        <w:t xml:space="preserve">CỔNG QUỐC MÔN TẠI </w:t>
      </w:r>
      <w:r>
        <w:rPr>
          <w:b/>
          <w:lang w:val="nl-NL"/>
        </w:rPr>
        <w:t xml:space="preserve">KHU VỰC </w:t>
      </w:r>
      <w:r w:rsidR="00100B2E">
        <w:rPr>
          <w:b/>
          <w:lang w:val="nl-NL"/>
        </w:rPr>
        <w:t>CỬA KHẨU LÝ VẠN, HUYỆN HẠ LANG</w:t>
      </w:r>
      <w:r>
        <w:rPr>
          <w:b/>
          <w:lang w:val="nl-NL"/>
        </w:rPr>
        <w:t>, TỈNH CAO BẰNG</w:t>
      </w:r>
    </w:p>
    <w:p w:rsidR="00F94141" w:rsidRDefault="00A60C58" w:rsidP="00F94141">
      <w:pPr>
        <w:spacing w:before="120" w:after="120" w:line="340" w:lineRule="exact"/>
        <w:ind w:firstLine="720"/>
        <w:jc w:val="center"/>
        <w:rPr>
          <w:b/>
          <w:lang w:val="nl-NL"/>
        </w:rPr>
      </w:pPr>
      <w:r>
        <w:rPr>
          <w:b/>
          <w:noProof/>
          <w:lang w:val="vi-VN" w:eastAsia="vi-VN"/>
        </w:rPr>
        <w:pict>
          <v:shapetype id="_x0000_t32" coordsize="21600,21600" o:spt="32" o:oned="t" path="m,l21600,21600e" filled="f">
            <v:path arrowok="t" fillok="f" o:connecttype="none"/>
            <o:lock v:ext="edit" shapetype="t"/>
          </v:shapetype>
          <v:shape id="_x0000_s1037" type="#_x0000_t32" style="position:absolute;left:0;text-align:left;margin-left:130.95pt;margin-top:.4pt;width:202.5pt;height:0;z-index:251658240" o:connectortype="straight"/>
        </w:pict>
      </w:r>
    </w:p>
    <w:p w:rsidR="00621369" w:rsidRDefault="00621369" w:rsidP="00621369">
      <w:pPr>
        <w:spacing w:before="120" w:after="120" w:line="340" w:lineRule="exact"/>
        <w:ind w:firstLine="720"/>
        <w:jc w:val="both"/>
        <w:rPr>
          <w:color w:val="000000"/>
          <w:lang w:val="pt-BR"/>
        </w:rPr>
      </w:pPr>
      <w:r w:rsidRPr="00621369">
        <w:rPr>
          <w:b/>
          <w:lang w:val="nl-NL"/>
        </w:rPr>
        <w:t>I. Cơ quan tổ chức thi tuyển:</w:t>
      </w:r>
      <w:r w:rsidRPr="00621369">
        <w:rPr>
          <w:lang w:val="nl-NL"/>
        </w:rPr>
        <w:t xml:space="preserve"> </w:t>
      </w:r>
      <w:r>
        <w:rPr>
          <w:color w:val="000000"/>
          <w:lang w:val="pt-BR"/>
        </w:rPr>
        <w:t>Ban quản lý khu kinh tế tỉnh Cao Bằng.</w:t>
      </w:r>
    </w:p>
    <w:p w:rsidR="00621369" w:rsidRPr="00F94141" w:rsidRDefault="00621369" w:rsidP="00621369">
      <w:pPr>
        <w:spacing w:before="120" w:after="120" w:line="340" w:lineRule="exact"/>
        <w:ind w:firstLine="720"/>
        <w:jc w:val="both"/>
        <w:rPr>
          <w:lang w:val="pt-BR"/>
        </w:rPr>
      </w:pPr>
      <w:r w:rsidRPr="00F94141">
        <w:rPr>
          <w:lang w:val="pt-BR"/>
        </w:rPr>
        <w:t>Văn phòng Ban tổ chức cuộc thi: Ban Quản lý dự án đầu tư - Ban Quản lý Khu tinh tế tỉnh Cao Bằng</w:t>
      </w:r>
    </w:p>
    <w:p w:rsidR="00621369" w:rsidRPr="00F94141" w:rsidRDefault="00621369" w:rsidP="00621369">
      <w:pPr>
        <w:spacing w:before="120" w:after="120" w:line="340" w:lineRule="exact"/>
        <w:ind w:firstLine="720"/>
        <w:jc w:val="both"/>
        <w:rPr>
          <w:lang w:val="pt-BR"/>
        </w:rPr>
      </w:pPr>
      <w:r w:rsidRPr="00F94141">
        <w:rPr>
          <w:lang w:val="pt-BR"/>
        </w:rPr>
        <w:t>- Địa chỉ: Số 052 (tầng 3), phố Kim Đồng, Phường Hợp Giang, Thành phố Cao Bằng, Tỉnh Cao Bằng.</w:t>
      </w:r>
    </w:p>
    <w:p w:rsidR="00621369" w:rsidRPr="00F94141" w:rsidRDefault="00621369" w:rsidP="00621369">
      <w:pPr>
        <w:spacing w:before="120" w:after="120" w:line="340" w:lineRule="exact"/>
        <w:ind w:firstLine="720"/>
        <w:jc w:val="both"/>
        <w:rPr>
          <w:lang w:val="fr-FR"/>
        </w:rPr>
      </w:pPr>
      <w:r w:rsidRPr="00F94141">
        <w:rPr>
          <w:lang w:val="fr-FR"/>
        </w:rPr>
        <w:t xml:space="preserve">- ĐT: 0206 3 852 586                           </w:t>
      </w:r>
      <w:r w:rsidRPr="00F94141">
        <w:rPr>
          <w:lang w:val="fr-FR"/>
        </w:rPr>
        <w:tab/>
        <w:t>- Fax: 0206 3 852 586</w:t>
      </w:r>
    </w:p>
    <w:p w:rsidR="00621369" w:rsidRPr="00F94141" w:rsidRDefault="00621369" w:rsidP="00621369">
      <w:pPr>
        <w:spacing w:before="120" w:after="120" w:line="340" w:lineRule="exact"/>
        <w:ind w:firstLine="720"/>
        <w:jc w:val="both"/>
        <w:rPr>
          <w:lang w:val="fr-FR"/>
        </w:rPr>
      </w:pPr>
      <w:r w:rsidRPr="00F94141">
        <w:rPr>
          <w:lang w:val="fr-FR"/>
        </w:rPr>
        <w:t>- Email: bqldakktcb@gmail.com</w:t>
      </w:r>
    </w:p>
    <w:p w:rsidR="00621369" w:rsidRDefault="00621369" w:rsidP="00621369">
      <w:pPr>
        <w:spacing w:before="120" w:after="120" w:line="340" w:lineRule="exact"/>
        <w:ind w:firstLine="720"/>
        <w:jc w:val="both"/>
        <w:rPr>
          <w:lang w:val="fr-FR"/>
        </w:rPr>
      </w:pPr>
      <w:r w:rsidRPr="00F55837">
        <w:rPr>
          <w:lang w:val="fr-FR"/>
        </w:rPr>
        <w:t xml:space="preserve">- Người trực tiếp liên hệ, cung cấp thông tin cuộc thi: </w:t>
      </w:r>
      <w:r>
        <w:rPr>
          <w:lang w:val="fr-FR"/>
        </w:rPr>
        <w:t>Hoàng Hà (ĐT :0982.303.668)</w:t>
      </w:r>
    </w:p>
    <w:p w:rsidR="00F94141" w:rsidRPr="00F94141" w:rsidRDefault="00621369" w:rsidP="00F94141">
      <w:pPr>
        <w:spacing w:before="120" w:after="120" w:line="340" w:lineRule="exact"/>
        <w:ind w:firstLine="720"/>
        <w:jc w:val="both"/>
        <w:rPr>
          <w:b/>
          <w:lang w:val="nl-NL"/>
        </w:rPr>
      </w:pPr>
      <w:r>
        <w:rPr>
          <w:b/>
          <w:lang w:val="nl-NL"/>
        </w:rPr>
        <w:t>I</w:t>
      </w:r>
      <w:r w:rsidR="00F55837">
        <w:rPr>
          <w:b/>
          <w:lang w:val="nl-NL"/>
        </w:rPr>
        <w:t>I</w:t>
      </w:r>
      <w:r w:rsidR="00F94141" w:rsidRPr="00F94141">
        <w:rPr>
          <w:b/>
          <w:lang w:val="nl-NL"/>
        </w:rPr>
        <w:t>. Đối tượng đăng ký dự thi:</w:t>
      </w:r>
    </w:p>
    <w:p w:rsidR="00F94141" w:rsidRPr="00F94141" w:rsidRDefault="00F94141" w:rsidP="00F94141">
      <w:pPr>
        <w:spacing w:before="120" w:after="120" w:line="340" w:lineRule="exact"/>
        <w:ind w:firstLine="720"/>
        <w:jc w:val="both"/>
        <w:rPr>
          <w:lang w:val="nl-NL"/>
        </w:rPr>
      </w:pPr>
      <w:r w:rsidRPr="00F94141">
        <w:rPr>
          <w:lang w:val="nl-NL"/>
        </w:rPr>
        <w:t>1. Những đối tượng được tham gia dự thi:</w:t>
      </w:r>
    </w:p>
    <w:p w:rsidR="00F94141" w:rsidRPr="00F94141" w:rsidRDefault="00F94141" w:rsidP="00F94141">
      <w:pPr>
        <w:spacing w:before="120" w:after="120" w:line="340" w:lineRule="exact"/>
        <w:ind w:firstLine="720"/>
        <w:jc w:val="both"/>
        <w:rPr>
          <w:lang w:val="nl-NL"/>
        </w:rPr>
      </w:pPr>
      <w:r w:rsidRPr="00F94141">
        <w:rPr>
          <w:lang w:val="nl-NL"/>
        </w:rPr>
        <w:t>Cuộc thi dành cho các tổ chức, cá nhân tư vấn thiết kế trong nước có đủ năng lực chuyên môn, hành nghề theo quy định của pháp luật hiện hành, đủ những điều kiện sau:</w:t>
      </w:r>
    </w:p>
    <w:p w:rsidR="00F94141" w:rsidRPr="00F94141" w:rsidRDefault="00F94141" w:rsidP="00F94141">
      <w:pPr>
        <w:spacing w:before="120" w:after="120" w:line="340" w:lineRule="exact"/>
        <w:ind w:firstLine="720"/>
        <w:jc w:val="both"/>
        <w:rPr>
          <w:lang w:val="nl-NL"/>
        </w:rPr>
      </w:pPr>
      <w:r w:rsidRPr="00F94141">
        <w:rPr>
          <w:lang w:val="nl-NL"/>
        </w:rPr>
        <w:t>a) Các tổ chức, cá nhân hành nghề thiết kế có giấy phép đăng ký hành nghề được công nhận.</w:t>
      </w:r>
    </w:p>
    <w:p w:rsidR="00F94141" w:rsidRPr="00F94141" w:rsidRDefault="00F94141" w:rsidP="00F94141">
      <w:pPr>
        <w:spacing w:before="120" w:after="120" w:line="340" w:lineRule="exact"/>
        <w:ind w:firstLine="720"/>
        <w:jc w:val="both"/>
        <w:rPr>
          <w:lang w:val="nl-NL"/>
        </w:rPr>
      </w:pPr>
      <w:r w:rsidRPr="00F94141">
        <w:rPr>
          <w:lang w:val="nl-NL"/>
        </w:rPr>
        <w:t>b) Các tổ chức, cá nhân hoạt động chuyên nghiệp, có kinh nghiệm thực tiễn.</w:t>
      </w:r>
    </w:p>
    <w:p w:rsidR="00F94141" w:rsidRPr="00F94141" w:rsidRDefault="00F94141" w:rsidP="00F94141">
      <w:pPr>
        <w:spacing w:before="120" w:after="120" w:line="340" w:lineRule="exact"/>
        <w:ind w:firstLine="720"/>
        <w:jc w:val="both"/>
        <w:rPr>
          <w:lang w:val="nl-NL"/>
        </w:rPr>
      </w:pPr>
      <w:r w:rsidRPr="00F94141">
        <w:rPr>
          <w:lang w:val="nl-NL"/>
        </w:rPr>
        <w:t>c) Các tổ chức cá nhân tham gia có thể là:</w:t>
      </w:r>
    </w:p>
    <w:p w:rsidR="00F94141" w:rsidRPr="00F94141" w:rsidRDefault="00F94141" w:rsidP="00F94141">
      <w:pPr>
        <w:spacing w:before="120" w:after="120" w:line="340" w:lineRule="exact"/>
        <w:ind w:firstLine="720"/>
        <w:jc w:val="both"/>
        <w:rPr>
          <w:lang w:val="nl-NL"/>
        </w:rPr>
      </w:pPr>
      <w:r w:rsidRPr="00F94141">
        <w:rPr>
          <w:lang w:val="nl-NL"/>
        </w:rPr>
        <w:t>- Một tổ chức, cá nhân.</w:t>
      </w:r>
    </w:p>
    <w:p w:rsidR="00F94141" w:rsidRPr="00F94141" w:rsidRDefault="00F94141" w:rsidP="00F94141">
      <w:pPr>
        <w:spacing w:before="120" w:after="120" w:line="340" w:lineRule="exact"/>
        <w:ind w:firstLine="720"/>
        <w:jc w:val="both"/>
        <w:rPr>
          <w:lang w:val="nl-NL"/>
        </w:rPr>
      </w:pPr>
      <w:r w:rsidRPr="00F94141">
        <w:rPr>
          <w:lang w:val="nl-NL"/>
        </w:rPr>
        <w:t>- Một liên danh của hai hoặc nhiều tổ chức hành nghề thiết kế công trình.</w:t>
      </w:r>
    </w:p>
    <w:p w:rsidR="00F94141" w:rsidRPr="00F94141" w:rsidRDefault="00F94141" w:rsidP="00F94141">
      <w:pPr>
        <w:spacing w:before="120" w:after="120" w:line="340" w:lineRule="exact"/>
        <w:ind w:firstLine="720"/>
        <w:jc w:val="both"/>
        <w:rPr>
          <w:lang w:val="nl-NL"/>
        </w:rPr>
      </w:pPr>
      <w:r w:rsidRPr="00F94141">
        <w:rPr>
          <w:lang w:val="nl-NL"/>
        </w:rPr>
        <w:t>d) Người chủ trì của đồ án phải là một kiến trúc sư.</w:t>
      </w:r>
    </w:p>
    <w:p w:rsidR="00F94141" w:rsidRPr="00F94141" w:rsidRDefault="00F94141" w:rsidP="00F94141">
      <w:pPr>
        <w:spacing w:before="120" w:after="120" w:line="340" w:lineRule="exact"/>
        <w:ind w:firstLine="720"/>
        <w:jc w:val="both"/>
        <w:rPr>
          <w:lang w:val="nl-NL"/>
        </w:rPr>
      </w:pPr>
      <w:r w:rsidRPr="00F94141">
        <w:rPr>
          <w:lang w:val="nl-NL"/>
        </w:rPr>
        <w:t>2. Những đối tượng sau không được tham gia cuộc thi:</w:t>
      </w:r>
    </w:p>
    <w:p w:rsidR="00F94141" w:rsidRPr="00F94141" w:rsidRDefault="00F94141" w:rsidP="00F94141">
      <w:pPr>
        <w:spacing w:before="120" w:after="120" w:line="340" w:lineRule="exact"/>
        <w:ind w:firstLine="720"/>
        <w:jc w:val="both"/>
        <w:rPr>
          <w:lang w:val="nl-NL"/>
        </w:rPr>
      </w:pPr>
      <w:r w:rsidRPr="00F94141">
        <w:rPr>
          <w:lang w:val="nl-NL"/>
        </w:rPr>
        <w:t>a) Một cá nhân hay nhóm thiết kế không có pháp nhân hành nghề phù hợp theo quy định;</w:t>
      </w:r>
    </w:p>
    <w:p w:rsidR="00F94141" w:rsidRPr="00F94141" w:rsidRDefault="00F94141" w:rsidP="00F94141">
      <w:pPr>
        <w:spacing w:before="120" w:after="120" w:line="340" w:lineRule="exact"/>
        <w:ind w:firstLine="720"/>
        <w:jc w:val="both"/>
        <w:rPr>
          <w:lang w:val="nl-NL"/>
        </w:rPr>
      </w:pPr>
      <w:r w:rsidRPr="00F94141">
        <w:rPr>
          <w:lang w:val="nl-NL"/>
        </w:rPr>
        <w:t>b) Thành viên Hội đồng;</w:t>
      </w:r>
    </w:p>
    <w:p w:rsidR="00F94141" w:rsidRPr="00F94141" w:rsidRDefault="00F94141" w:rsidP="00F94141">
      <w:pPr>
        <w:spacing w:before="120" w:after="120" w:line="340" w:lineRule="exact"/>
        <w:ind w:firstLine="720"/>
        <w:jc w:val="both"/>
        <w:rPr>
          <w:lang w:val="nl-NL"/>
        </w:rPr>
      </w:pPr>
      <w:r w:rsidRPr="00F94141">
        <w:rPr>
          <w:lang w:val="nl-NL"/>
        </w:rPr>
        <w:t>c) Thành viên của Ban Tổ chức và Tổ tư vấn kỹ thuật;</w:t>
      </w:r>
    </w:p>
    <w:p w:rsidR="00F94141" w:rsidRPr="00F94141" w:rsidRDefault="00F94141" w:rsidP="00F94141">
      <w:pPr>
        <w:spacing w:before="120" w:after="120" w:line="340" w:lineRule="exact"/>
        <w:ind w:firstLine="720"/>
        <w:jc w:val="both"/>
        <w:rPr>
          <w:lang w:val="nl-NL"/>
        </w:rPr>
      </w:pPr>
      <w:r w:rsidRPr="00F94141">
        <w:rPr>
          <w:lang w:val="nl-NL"/>
        </w:rPr>
        <w:t>d) Chuyên gia cố vấn của Ban Tổ chức (do Ban Tổ chức mời);</w:t>
      </w:r>
    </w:p>
    <w:p w:rsidR="00F94141" w:rsidRPr="00F94141" w:rsidRDefault="00F94141" w:rsidP="00F94141">
      <w:pPr>
        <w:spacing w:before="120" w:after="120" w:line="340" w:lineRule="exact"/>
        <w:ind w:firstLine="720"/>
        <w:jc w:val="both"/>
        <w:rPr>
          <w:lang w:val="nl-NL"/>
        </w:rPr>
      </w:pPr>
      <w:r w:rsidRPr="00F94141">
        <w:rPr>
          <w:lang w:val="nl-NL"/>
        </w:rPr>
        <w:t>e) Các cá nhân có liên quan đến nhiệm vụ tổ chức cuộc thi trong cơ quan chính quyền tỉnh Cao Bằng.</w:t>
      </w:r>
    </w:p>
    <w:p w:rsidR="00F94141" w:rsidRPr="00F94141" w:rsidRDefault="00F94141" w:rsidP="00F94141">
      <w:pPr>
        <w:spacing w:before="120" w:after="120" w:line="340" w:lineRule="exact"/>
        <w:ind w:firstLine="720"/>
        <w:jc w:val="both"/>
        <w:rPr>
          <w:lang w:val="nl-NL"/>
        </w:rPr>
      </w:pPr>
      <w:r w:rsidRPr="00F94141">
        <w:rPr>
          <w:lang w:val="nl-NL"/>
        </w:rPr>
        <w:lastRenderedPageBreak/>
        <w:t>g) Tổ chức đơn vị, cá nhân đang bị truy tố hoặc khởi tố theo quy định của pháp luật.</w:t>
      </w:r>
    </w:p>
    <w:p w:rsidR="00F94141" w:rsidRPr="00F94141" w:rsidRDefault="00F94141" w:rsidP="00F94141">
      <w:pPr>
        <w:spacing w:before="120" w:after="120" w:line="340" w:lineRule="exact"/>
        <w:ind w:firstLine="720"/>
        <w:jc w:val="both"/>
        <w:rPr>
          <w:lang w:val="nl-NL"/>
        </w:rPr>
      </w:pPr>
      <w:r w:rsidRPr="00F94141">
        <w:rPr>
          <w:lang w:val="nl-NL"/>
        </w:rPr>
        <w:t>3. Quy định thêm về trường hợp Liên danh:</w:t>
      </w:r>
    </w:p>
    <w:p w:rsidR="00F94141" w:rsidRPr="00F94141" w:rsidRDefault="00F94141" w:rsidP="00F94141">
      <w:pPr>
        <w:spacing w:before="120" w:after="120" w:line="340" w:lineRule="exact"/>
        <w:ind w:firstLine="720"/>
        <w:jc w:val="both"/>
        <w:rPr>
          <w:lang w:val="nl-NL"/>
        </w:rPr>
      </w:pPr>
      <w:r w:rsidRPr="00F94141">
        <w:rPr>
          <w:lang w:val="nl-NL"/>
        </w:rPr>
        <w:t>a) Các tổ chức, cá nhân có thể liên danh với tổ chức, cá nhân khác, hội đủ điều kiện do Ban Tổ chức đề ra nêu trên. Trong trường hợp này cần có một tổ chức, cá nhân chịu trách nhiệm chính. Mỗi tổ chức, cá nhân chỉ được tham gia vào một liên danh, biên bản thỏa thuận liên danh được gửi đến Ban Tổ chức. Mọi vấn đề về quyền lợi, lợi ích và nghĩa vụ giữa các bên trong liên danh do các bên tự thỏa thuận, Ban Tổ chức không chịu trách nhiệm.</w:t>
      </w:r>
    </w:p>
    <w:p w:rsidR="00F94141" w:rsidRPr="00F94141" w:rsidRDefault="00F94141" w:rsidP="00F94141">
      <w:pPr>
        <w:spacing w:before="120" w:after="120" w:line="340" w:lineRule="exact"/>
        <w:ind w:firstLine="720"/>
        <w:jc w:val="both"/>
        <w:rPr>
          <w:lang w:val="nl-NL"/>
        </w:rPr>
      </w:pPr>
      <w:r w:rsidRPr="00F94141">
        <w:rPr>
          <w:lang w:val="nl-NL"/>
        </w:rPr>
        <w:t>b) Các tổ chức, cá nhân có thể cộng tác với một chuyên gia hay một nhóm chuyên gia để đảm bảo kết quả cuộc thi. Trường hợp này tổ chức hay cá nhân không cần gửi biên bản thỏa thuận cho Ban Tổ chức. Tên và lý lịch khoa học của các chuyên gia này phải được tổ chức, cá nhân nêu rõ trong bản danh sách các thành viên dự thi.</w:t>
      </w:r>
    </w:p>
    <w:p w:rsidR="00F94141" w:rsidRPr="00F94141" w:rsidRDefault="00F94141" w:rsidP="00F94141">
      <w:pPr>
        <w:spacing w:before="120" w:after="120" w:line="340" w:lineRule="exact"/>
        <w:ind w:firstLine="720"/>
        <w:jc w:val="both"/>
        <w:rPr>
          <w:lang w:val="nl-NL"/>
        </w:rPr>
      </w:pPr>
      <w:r w:rsidRPr="00F94141">
        <w:rPr>
          <w:lang w:val="nl-NL"/>
        </w:rPr>
        <w:t>c) Trường hợp liên danh phải có văn bản thỏa thuận liên danh giữa các thành viên, trong đó phải phân định rõ trách nhiệm (chung và riêng). Quyền hạn, khối lượng công việc phải thực hiện và giá trị tương ứng của từng thành viên trong liên danh, kể cả người đứng đầu liên danh, địa điểm và thời gian ký thỏa thuận liên danh, chữ ký của các thành viên, con dấu (nếu có).</w:t>
      </w:r>
    </w:p>
    <w:p w:rsidR="00F94141" w:rsidRPr="00F94141" w:rsidRDefault="00621369" w:rsidP="00F94141">
      <w:pPr>
        <w:spacing w:before="120" w:after="120" w:line="340" w:lineRule="exact"/>
        <w:ind w:firstLine="720"/>
        <w:jc w:val="both"/>
        <w:rPr>
          <w:b/>
          <w:lang w:val="nl-NL"/>
        </w:rPr>
      </w:pPr>
      <w:r>
        <w:rPr>
          <w:b/>
          <w:lang w:val="nl-NL"/>
        </w:rPr>
        <w:t>I</w:t>
      </w:r>
      <w:r w:rsidR="00F55837">
        <w:rPr>
          <w:b/>
          <w:lang w:val="nl-NL"/>
        </w:rPr>
        <w:t>II</w:t>
      </w:r>
      <w:r w:rsidR="00F94141" w:rsidRPr="00F94141">
        <w:rPr>
          <w:b/>
          <w:lang w:val="nl-NL"/>
        </w:rPr>
        <w:t>. Thủ tục đăng ký dự thi:</w:t>
      </w:r>
    </w:p>
    <w:p w:rsidR="00F94141" w:rsidRPr="00F94141" w:rsidRDefault="00F94141" w:rsidP="00F94141">
      <w:pPr>
        <w:spacing w:before="120" w:after="120" w:line="340" w:lineRule="exact"/>
        <w:ind w:firstLine="720"/>
        <w:jc w:val="both"/>
        <w:rPr>
          <w:lang w:val="nl-NL"/>
        </w:rPr>
      </w:pPr>
      <w:r w:rsidRPr="00F94141">
        <w:rPr>
          <w:lang w:val="nl-NL"/>
        </w:rPr>
        <w:t xml:space="preserve">1. Các cá nhân, tổ chức đăng ký dự thi cần gửi đến Ban Tổ chức theo địa chỉ tại </w:t>
      </w:r>
      <w:r w:rsidR="00621369">
        <w:rPr>
          <w:b/>
          <w:lang w:val="nl-NL"/>
        </w:rPr>
        <w:t>Mục I</w:t>
      </w:r>
      <w:r w:rsidRPr="00F94141">
        <w:rPr>
          <w:lang w:val="nl-NL"/>
        </w:rPr>
        <w:t xml:space="preserve"> những giấy tờ sau:  </w:t>
      </w:r>
    </w:p>
    <w:p w:rsidR="00F94141" w:rsidRPr="00DC5751" w:rsidRDefault="00F94141" w:rsidP="00F94141">
      <w:pPr>
        <w:spacing w:before="120" w:after="120" w:line="340" w:lineRule="exact"/>
        <w:ind w:firstLine="720"/>
        <w:jc w:val="both"/>
        <w:rPr>
          <w:lang w:val="nl-NL"/>
        </w:rPr>
      </w:pPr>
      <w:r w:rsidRPr="00DC5751">
        <w:rPr>
          <w:lang w:val="nl-NL"/>
        </w:rPr>
        <w:t>+ Trường hợp đăng ký dự thi trực tiếp hồ sơ đăng ký dự thi gồm:</w:t>
      </w:r>
    </w:p>
    <w:p w:rsidR="00F94141" w:rsidRPr="00DC5751" w:rsidRDefault="00F94141" w:rsidP="00F94141">
      <w:pPr>
        <w:spacing w:before="120" w:after="120" w:line="340" w:lineRule="exact"/>
        <w:ind w:firstLine="720"/>
        <w:jc w:val="both"/>
        <w:rPr>
          <w:lang w:val="nl-NL"/>
        </w:rPr>
      </w:pPr>
      <w:r w:rsidRPr="00DC5751">
        <w:rPr>
          <w:lang w:val="nl-NL"/>
        </w:rPr>
        <w:t>- Bản đăng ký dự thi (theo mẫu kèm theo Quy chế này);</w:t>
      </w:r>
    </w:p>
    <w:p w:rsidR="00F94141" w:rsidRPr="00DC5751" w:rsidRDefault="00F94141" w:rsidP="00F94141">
      <w:pPr>
        <w:spacing w:before="120" w:after="120" w:line="340" w:lineRule="exact"/>
        <w:ind w:firstLine="720"/>
        <w:jc w:val="both"/>
        <w:rPr>
          <w:lang w:val="nl-NL"/>
        </w:rPr>
      </w:pPr>
      <w:r w:rsidRPr="00DC5751">
        <w:rPr>
          <w:lang w:val="nl-NL"/>
        </w:rPr>
        <w:t>- Giấy tờ chứng minh về quyền hành nghề và giấy tờ chứng minh tư cách của tổ chức cá nhân theo quy định;</w:t>
      </w:r>
    </w:p>
    <w:p w:rsidR="00F94141" w:rsidRPr="00DC5751" w:rsidRDefault="00F94141" w:rsidP="00F94141">
      <w:pPr>
        <w:spacing w:before="120" w:after="120" w:line="340" w:lineRule="exact"/>
        <w:ind w:firstLine="720"/>
        <w:jc w:val="both"/>
        <w:rPr>
          <w:lang w:val="nl-NL"/>
        </w:rPr>
      </w:pPr>
      <w:r w:rsidRPr="00DC5751">
        <w:rPr>
          <w:lang w:val="nl-NL"/>
        </w:rPr>
        <w:t>- Bản giới thiệu tóm lược quá trình hoạt động và thành tích đạt được của tổ chức, cá nhân (nêu rõ các cuộc thi đã tham gia và giải thưởng đạt được, nếu có);</w:t>
      </w:r>
    </w:p>
    <w:p w:rsidR="00F94141" w:rsidRPr="00DC5751" w:rsidRDefault="00F94141" w:rsidP="00F94141">
      <w:pPr>
        <w:spacing w:before="120" w:after="120" w:line="340" w:lineRule="exact"/>
        <w:ind w:firstLine="720"/>
        <w:jc w:val="both"/>
        <w:rPr>
          <w:lang w:val="nl-NL"/>
        </w:rPr>
      </w:pPr>
      <w:r w:rsidRPr="00DC5751">
        <w:rPr>
          <w:lang w:val="nl-NL"/>
        </w:rPr>
        <w:t xml:space="preserve">- Văn bản thỏa thuận liên danh (nếu có); </w:t>
      </w:r>
    </w:p>
    <w:p w:rsidR="00F94141" w:rsidRPr="00DC5751" w:rsidRDefault="00F94141" w:rsidP="00F94141">
      <w:pPr>
        <w:spacing w:before="120" w:after="120" w:line="340" w:lineRule="exact"/>
        <w:ind w:firstLine="720"/>
        <w:jc w:val="both"/>
        <w:rPr>
          <w:lang w:val="nl-NL"/>
        </w:rPr>
      </w:pPr>
      <w:r w:rsidRPr="00DC5751">
        <w:rPr>
          <w:lang w:val="nl-NL"/>
        </w:rPr>
        <w:t xml:space="preserve">+ Trường hợp đơn vị không đến đăng ký dự thi trực tiếp: </w:t>
      </w:r>
    </w:p>
    <w:p w:rsidR="00F94141" w:rsidRPr="00DC5751" w:rsidRDefault="00F94141" w:rsidP="00F94141">
      <w:pPr>
        <w:spacing w:before="120" w:after="120" w:line="340" w:lineRule="exact"/>
        <w:ind w:firstLine="720"/>
        <w:jc w:val="both"/>
        <w:rPr>
          <w:lang w:val="nl-NL"/>
        </w:rPr>
      </w:pPr>
      <w:r w:rsidRPr="00DC5751">
        <w:rPr>
          <w:lang w:val="nl-NL"/>
        </w:rPr>
        <w:t xml:space="preserve">- Đơn vị gửi trước bản đăng ký dự thi bằng fax và email (bản scan) theo địa chỉ tại </w:t>
      </w:r>
      <w:r w:rsidR="00621369">
        <w:rPr>
          <w:lang w:val="nl-NL"/>
        </w:rPr>
        <w:t>Mục I</w:t>
      </w:r>
      <w:r w:rsidRPr="00DC5751">
        <w:rPr>
          <w:lang w:val="nl-NL"/>
        </w:rPr>
        <w:t>; Sau đó gửi hồ sơ đăng ký dự thi qua đường bưu điện thành phần hồ sơ như trường hợp đăng ký dự thi trực tiếp</w:t>
      </w:r>
    </w:p>
    <w:p w:rsidR="00F94141" w:rsidRPr="00DC5751" w:rsidRDefault="00F94141" w:rsidP="00F94141">
      <w:pPr>
        <w:spacing w:before="120" w:after="120" w:line="340" w:lineRule="exact"/>
        <w:ind w:firstLine="720"/>
        <w:jc w:val="both"/>
        <w:rPr>
          <w:lang w:val="nl-NL"/>
        </w:rPr>
      </w:pPr>
      <w:r w:rsidRPr="00DC5751">
        <w:rPr>
          <w:lang w:val="nl-NL"/>
        </w:rPr>
        <w:t>- Thời hạn nhận hồ sơ đăng ký dự thi gửi qua đường bưu điện được tính theo dấu bưu điện thời điểm đến nơi tiếp nhận không quá 03 ngày sau ngày hết hạn đăng ký dự thi (10 ngày kể từ ngày thông báo cuộc thi).</w:t>
      </w:r>
    </w:p>
    <w:p w:rsidR="00F94141" w:rsidRPr="00EE72F7" w:rsidRDefault="00F55837" w:rsidP="00F94141">
      <w:pPr>
        <w:spacing w:before="120" w:after="120" w:line="340" w:lineRule="exact"/>
        <w:ind w:firstLine="720"/>
        <w:jc w:val="both"/>
        <w:rPr>
          <w:b/>
          <w:lang w:val="nl-NL"/>
        </w:rPr>
      </w:pPr>
      <w:r>
        <w:rPr>
          <w:b/>
          <w:lang w:val="nl-NL"/>
        </w:rPr>
        <w:t>I</w:t>
      </w:r>
      <w:r w:rsidR="00621369">
        <w:rPr>
          <w:b/>
          <w:lang w:val="nl-NL"/>
        </w:rPr>
        <w:t>V</w:t>
      </w:r>
      <w:r w:rsidR="00F94141" w:rsidRPr="00EE72F7">
        <w:rPr>
          <w:b/>
          <w:lang w:val="nl-NL"/>
        </w:rPr>
        <w:t>. Quy định về thời gian cuộc thi:</w:t>
      </w:r>
    </w:p>
    <w:p w:rsidR="00F94141" w:rsidRPr="00A10DA4" w:rsidRDefault="00F94141" w:rsidP="00F94141">
      <w:pPr>
        <w:spacing w:before="120" w:after="120" w:line="340" w:lineRule="exact"/>
        <w:ind w:firstLine="720"/>
        <w:jc w:val="both"/>
        <w:rPr>
          <w:lang w:val="nl-NL"/>
        </w:rPr>
      </w:pPr>
      <w:r w:rsidRPr="00A10DA4">
        <w:rPr>
          <w:lang w:val="nl-NL"/>
        </w:rPr>
        <w:lastRenderedPageBreak/>
        <w:t>- Thông báo cuộc thi: Sẽ được đăng tải trên các phương tiện thông tin đại chúng trước 07 ngày kể từ ngày kết thúc đăng ký dự thi;</w:t>
      </w:r>
    </w:p>
    <w:p w:rsidR="00F94141" w:rsidRPr="00A10DA4" w:rsidRDefault="00F94141" w:rsidP="00F94141">
      <w:pPr>
        <w:spacing w:before="120" w:after="120" w:line="340" w:lineRule="exact"/>
        <w:ind w:firstLine="720"/>
        <w:jc w:val="both"/>
        <w:rPr>
          <w:lang w:val="nl-NL"/>
        </w:rPr>
      </w:pPr>
      <w:r w:rsidRPr="00A10DA4">
        <w:rPr>
          <w:lang w:val="nl-NL"/>
        </w:rPr>
        <w:t>- Tiếp nhận đăng ký dự thi: Từ ngày ra thông báo;</w:t>
      </w:r>
    </w:p>
    <w:p w:rsidR="00F94141" w:rsidRPr="00A10DA4" w:rsidRDefault="00F94141" w:rsidP="00F94141">
      <w:pPr>
        <w:spacing w:before="120" w:after="120" w:line="340" w:lineRule="exact"/>
        <w:ind w:firstLine="720"/>
        <w:jc w:val="both"/>
        <w:rPr>
          <w:lang w:val="nl-NL"/>
        </w:rPr>
      </w:pPr>
      <w:r w:rsidRPr="00A10DA4">
        <w:rPr>
          <w:lang w:val="nl-NL"/>
        </w:rPr>
        <w:t>- Kết thúc đăng ký dự thi: Sau 07 ngày kể từ ngày ra thông báo;</w:t>
      </w:r>
    </w:p>
    <w:p w:rsidR="00F94141" w:rsidRPr="00A10DA4" w:rsidRDefault="00F94141" w:rsidP="00F94141">
      <w:pPr>
        <w:spacing w:before="120" w:after="120" w:line="340" w:lineRule="exact"/>
        <w:ind w:firstLine="720"/>
        <w:jc w:val="both"/>
        <w:rPr>
          <w:lang w:val="nl-NL"/>
        </w:rPr>
      </w:pPr>
      <w:r w:rsidRPr="00A10DA4">
        <w:rPr>
          <w:lang w:val="nl-NL"/>
        </w:rPr>
        <w:t>- Sau khi kết thúc đăng ký dự thi, Ban Tổ chức sẽ sơ tuyển năng lực vòng 1 và sẽ tổ chức gặp trực tiếp các đơn vị được chọn tham gia vòng 2 tại Trụ sở Ban Quản lý Khu kinh tế tỉnh - Địa chỉ: Số 052 (tầng 3), phố Kim Đồng, Phường Hợp Giang, Thành phố Cao Bằng, Tỉnh Cao Bằng để trao đổi, cung cấp thêm thông tin liên quan đến nội dung cuộc thi, tham quan khu vực mặt bằng thi công xây dựng công trình theo quy hoạch (Ban Tổ chức sẽ có thông báo cụ thể sau về thời gian tiếp xúc, lịch trình tham quan, hướng dẫn tham quan và các vấn đề liên quan khác đến việc tham quan khảo sát) và phát hành hồ sơ, tài liệu mời dự thi cho các tổ chức, cá nhân dự thi;</w:t>
      </w:r>
    </w:p>
    <w:p w:rsidR="00F94141" w:rsidRPr="00A10DA4" w:rsidRDefault="00F94141" w:rsidP="00F94141">
      <w:pPr>
        <w:spacing w:before="120" w:after="120" w:line="340" w:lineRule="exact"/>
        <w:ind w:firstLine="720"/>
        <w:jc w:val="both"/>
        <w:rPr>
          <w:lang w:val="nl-NL"/>
        </w:rPr>
      </w:pPr>
      <w:r w:rsidRPr="00A10DA4">
        <w:rPr>
          <w:lang w:val="nl-NL"/>
        </w:rPr>
        <w:t>- Thời gian thực hiện đồ án phương án thiết kế kiến trúc dự thi: Trong vòng 10 ngày làm việc kể từ ngày kết thúc tổ chức tiếp xúc và tham quan, phát hành hồ sơ dự thi;</w:t>
      </w:r>
    </w:p>
    <w:p w:rsidR="00F94141" w:rsidRPr="00A10DA4" w:rsidRDefault="00F94141" w:rsidP="00F94141">
      <w:pPr>
        <w:spacing w:before="120" w:after="120" w:line="340" w:lineRule="exact"/>
        <w:ind w:firstLine="720"/>
        <w:jc w:val="both"/>
        <w:rPr>
          <w:lang w:val="nl-NL"/>
        </w:rPr>
      </w:pPr>
      <w:r w:rsidRPr="00A10DA4">
        <w:rPr>
          <w:lang w:val="nl-NL"/>
        </w:rPr>
        <w:t>- Nộp hồ sơ dự thi: 03 ngày làm việc, nộp hồ sơ trong thời gian từ 08 giờ 00 phút đến 16 giờ 30 phút (03 ngày làm việc cuối cùng của thời gian thực hiện đồ án phương án thiết kế kiến trúc dự thi)</w:t>
      </w:r>
    </w:p>
    <w:p w:rsidR="00F94141" w:rsidRPr="00A10DA4" w:rsidRDefault="00F94141" w:rsidP="00F94141">
      <w:pPr>
        <w:spacing w:before="120" w:after="120" w:line="340" w:lineRule="exact"/>
        <w:ind w:firstLine="720"/>
        <w:jc w:val="both"/>
        <w:rPr>
          <w:lang w:val="nl-NL"/>
        </w:rPr>
      </w:pPr>
      <w:r w:rsidRPr="00A10DA4">
        <w:rPr>
          <w:lang w:val="nl-NL"/>
        </w:rPr>
        <w:t>- Xem xét các phương án dự thi: Tổ kỹ thuật kiểm tra, tổng hợp số liệu để báo cáo về các phương án dự thi cho Hội đồng xem xét, đánh giá trước khi mời các đơn vị tư vấn giới thiệu, báo cáo đồ án của mình trước Hội đồng thi tuyển, thời gian 02 ngày làm việc;</w:t>
      </w:r>
    </w:p>
    <w:p w:rsidR="00F94141" w:rsidRPr="00A10DA4" w:rsidRDefault="00F94141" w:rsidP="00F94141">
      <w:pPr>
        <w:spacing w:before="120" w:after="120" w:line="340" w:lineRule="exact"/>
        <w:ind w:firstLine="720"/>
        <w:jc w:val="both"/>
        <w:rPr>
          <w:lang w:val="nl-NL"/>
        </w:rPr>
      </w:pPr>
      <w:r w:rsidRPr="00A10DA4">
        <w:rPr>
          <w:lang w:val="nl-NL"/>
        </w:rPr>
        <w:t>- Đơn vị tư vấn trình bày, giới thiệu đồ án của mình trước Hội đồng thi tuyển và các cơ quan có liên quan theo lịch do Ban Quản lý Khu kinh tế tỉnh sắp xếp, thời gian 01 ngày làm việc;</w:t>
      </w:r>
    </w:p>
    <w:p w:rsidR="00F94141" w:rsidRPr="00A10DA4" w:rsidRDefault="00F94141" w:rsidP="00F94141">
      <w:pPr>
        <w:spacing w:before="120" w:after="120" w:line="340" w:lineRule="exact"/>
        <w:ind w:firstLine="720"/>
        <w:jc w:val="both"/>
        <w:rPr>
          <w:lang w:val="nl-NL"/>
        </w:rPr>
      </w:pPr>
      <w:r w:rsidRPr="00A10DA4">
        <w:rPr>
          <w:lang w:val="nl-NL"/>
        </w:rPr>
        <w:t xml:space="preserve">- Hội đồng thi tuyển nghiên cứu, xem xét đánh giá, xếp hạng các phương án </w:t>
      </w:r>
      <w:r w:rsidR="00FF7A91" w:rsidRPr="00A10DA4">
        <w:rPr>
          <w:lang w:val="nl-NL"/>
        </w:rPr>
        <w:t>dự thi: 05 ngày làm việc;</w:t>
      </w:r>
    </w:p>
    <w:p w:rsidR="00F94141" w:rsidRPr="00A10DA4" w:rsidRDefault="00F94141" w:rsidP="00F94141">
      <w:pPr>
        <w:spacing w:before="120" w:after="120" w:line="340" w:lineRule="exact"/>
        <w:ind w:firstLine="720"/>
        <w:jc w:val="both"/>
        <w:rPr>
          <w:lang w:val="nl-NL"/>
        </w:rPr>
      </w:pPr>
      <w:r w:rsidRPr="00A10DA4">
        <w:rPr>
          <w:lang w:val="nl-NL"/>
        </w:rPr>
        <w:t>- Báo cáo UBND tỉnh về kết quả thi tuyển và đề xuất phương án chọn để triển khai thực hiện dự án: 02 ngày làm việc;</w:t>
      </w:r>
    </w:p>
    <w:p w:rsidR="00F94141" w:rsidRPr="00A10DA4" w:rsidRDefault="00F94141" w:rsidP="00F94141">
      <w:pPr>
        <w:spacing w:before="120" w:after="120" w:line="340" w:lineRule="exact"/>
        <w:ind w:firstLine="720"/>
        <w:jc w:val="both"/>
        <w:rPr>
          <w:lang w:val="nl-NL"/>
        </w:rPr>
      </w:pPr>
      <w:r w:rsidRPr="00A10DA4">
        <w:rPr>
          <w:lang w:val="nl-NL"/>
        </w:rPr>
        <w:t>- Chỉ những đơn vị có hồ sơ nộp cho Ban Tổ chức đúng thời gian quy định, đạt yêu cầu mới được đưa vào xét chọn và sắp xếp báo cáo;</w:t>
      </w:r>
    </w:p>
    <w:p w:rsidR="00F94141" w:rsidRPr="00A10DA4" w:rsidRDefault="00F94141" w:rsidP="00F94141">
      <w:pPr>
        <w:spacing w:before="120" w:after="120" w:line="340" w:lineRule="exact"/>
        <w:ind w:firstLine="720"/>
        <w:jc w:val="both"/>
        <w:rPr>
          <w:lang w:val="nl-NL"/>
        </w:rPr>
      </w:pPr>
      <w:r w:rsidRPr="00A10DA4">
        <w:rPr>
          <w:lang w:val="nl-NL"/>
        </w:rPr>
        <w:t>- Những đơn vị nộp hồ sơ dự thi nhưng do điều kiện bất khả kháng không tham dự báo cáo, tổ tư vấn kỹ thuật giúp việc có trách nhiệm báo cáo để Hội đồng thi tuyển được biết.</w:t>
      </w:r>
    </w:p>
    <w:p w:rsidR="00F94141" w:rsidRPr="00A10DA4" w:rsidRDefault="00F55837" w:rsidP="00F94141">
      <w:pPr>
        <w:spacing w:before="120" w:after="120" w:line="340" w:lineRule="exact"/>
        <w:ind w:firstLine="720"/>
        <w:jc w:val="both"/>
        <w:rPr>
          <w:b/>
          <w:lang w:val="nl-NL"/>
        </w:rPr>
      </w:pPr>
      <w:r w:rsidRPr="00A10DA4">
        <w:rPr>
          <w:b/>
          <w:lang w:val="nl-NL"/>
        </w:rPr>
        <w:t>V</w:t>
      </w:r>
      <w:r w:rsidR="00F94141" w:rsidRPr="00A10DA4">
        <w:rPr>
          <w:b/>
          <w:lang w:val="nl-NL"/>
        </w:rPr>
        <w:t>. Tiêu chí đánh giá năng lực các tổ chức, cá nhân:</w:t>
      </w:r>
    </w:p>
    <w:p w:rsidR="00F94141" w:rsidRPr="00A10DA4" w:rsidRDefault="00F94141" w:rsidP="00F94141">
      <w:pPr>
        <w:spacing w:before="120" w:after="120" w:line="340" w:lineRule="exact"/>
        <w:ind w:firstLine="720"/>
        <w:jc w:val="both"/>
        <w:rPr>
          <w:lang w:val="nl-NL"/>
        </w:rPr>
      </w:pPr>
      <w:r w:rsidRPr="00A10DA4">
        <w:rPr>
          <w:lang w:val="nl-NL"/>
        </w:rPr>
        <w:t xml:space="preserve">Ngoài các quy định cụ thể tại </w:t>
      </w:r>
      <w:r w:rsidR="00621369" w:rsidRPr="00A10DA4">
        <w:rPr>
          <w:lang w:val="nl-NL"/>
        </w:rPr>
        <w:t>Mục II</w:t>
      </w:r>
      <w:r w:rsidRPr="00A10DA4">
        <w:rPr>
          <w:lang w:val="nl-NL"/>
        </w:rPr>
        <w:t xml:space="preserve"> của Quy chế này, các đơn vị được chọn vào vòng 2 ưu tiên cho các đơn vị từng có phương án đoạt giải cao trong các cuộc </w:t>
      </w:r>
      <w:r w:rsidRPr="00A10DA4">
        <w:rPr>
          <w:lang w:val="nl-NL"/>
        </w:rPr>
        <w:lastRenderedPageBreak/>
        <w:t>thi về thiết kế kiến trúc các công trình tương tự; các đơn vị có các chủ trì đồ án quy hoạch là các kiến trúc sư có danh tiếng ở trong và ngoài nước.</w:t>
      </w:r>
    </w:p>
    <w:p w:rsidR="00F55837" w:rsidRPr="00A10DA4" w:rsidRDefault="00F94141" w:rsidP="00621369">
      <w:pPr>
        <w:spacing w:before="120" w:after="120" w:line="340" w:lineRule="exact"/>
        <w:ind w:firstLine="720"/>
        <w:jc w:val="both"/>
        <w:rPr>
          <w:lang w:val="nl-NL"/>
        </w:rPr>
      </w:pPr>
      <w:r w:rsidRPr="00A10DA4">
        <w:rPr>
          <w:lang w:val="nl-NL"/>
        </w:rPr>
        <w:t>Các đơn vị lọt vào vòng 2 sẽ được tính theo thứ tự từ cao xuống thấp theo thang điểm do Ban Tổ chức quy định. Nếu các đơn vị có cùng số điểm sẽ được xét chọn theo chỉ số phụ.</w:t>
      </w:r>
    </w:p>
    <w:sectPr w:rsidR="00F55837" w:rsidRPr="00A10DA4" w:rsidSect="00EA0537">
      <w:footerReference w:type="even" r:id="rId7"/>
      <w:footerReference w:type="default" r:id="rId8"/>
      <w:pgSz w:w="11907" w:h="16840" w:code="9"/>
      <w:pgMar w:top="1134" w:right="851"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74D" w:rsidRDefault="00AE374D">
      <w:r>
        <w:separator/>
      </w:r>
    </w:p>
  </w:endnote>
  <w:endnote w:type="continuationSeparator" w:id="1">
    <w:p w:rsidR="00AE374D" w:rsidRDefault="00AE3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531" w:rsidRDefault="00A60C58" w:rsidP="00C13531">
    <w:pPr>
      <w:pStyle w:val="Footer"/>
      <w:framePr w:wrap="around" w:vAnchor="text" w:hAnchor="margin" w:xAlign="right" w:y="1"/>
      <w:rPr>
        <w:rStyle w:val="PageNumber"/>
      </w:rPr>
    </w:pPr>
    <w:r>
      <w:rPr>
        <w:rStyle w:val="PageNumber"/>
      </w:rPr>
      <w:fldChar w:fldCharType="begin"/>
    </w:r>
    <w:r w:rsidR="00C13531">
      <w:rPr>
        <w:rStyle w:val="PageNumber"/>
      </w:rPr>
      <w:instrText xml:space="preserve">PAGE  </w:instrText>
    </w:r>
    <w:r>
      <w:rPr>
        <w:rStyle w:val="PageNumber"/>
      </w:rPr>
      <w:fldChar w:fldCharType="end"/>
    </w:r>
  </w:p>
  <w:p w:rsidR="00C13531" w:rsidRDefault="00C13531" w:rsidP="00C1353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531" w:rsidRDefault="00A60C58" w:rsidP="00C13531">
    <w:pPr>
      <w:pStyle w:val="Footer"/>
      <w:framePr w:wrap="around" w:vAnchor="text" w:hAnchor="margin" w:xAlign="right" w:y="1"/>
      <w:rPr>
        <w:rStyle w:val="PageNumber"/>
      </w:rPr>
    </w:pPr>
    <w:r>
      <w:rPr>
        <w:rStyle w:val="PageNumber"/>
      </w:rPr>
      <w:fldChar w:fldCharType="begin"/>
    </w:r>
    <w:r w:rsidR="00C13531">
      <w:rPr>
        <w:rStyle w:val="PageNumber"/>
      </w:rPr>
      <w:instrText xml:space="preserve">PAGE  </w:instrText>
    </w:r>
    <w:r>
      <w:rPr>
        <w:rStyle w:val="PageNumber"/>
      </w:rPr>
      <w:fldChar w:fldCharType="separate"/>
    </w:r>
    <w:r w:rsidR="00A10DA4">
      <w:rPr>
        <w:rStyle w:val="PageNumber"/>
        <w:noProof/>
      </w:rPr>
      <w:t>2</w:t>
    </w:r>
    <w:r>
      <w:rPr>
        <w:rStyle w:val="PageNumber"/>
      </w:rPr>
      <w:fldChar w:fldCharType="end"/>
    </w:r>
  </w:p>
  <w:p w:rsidR="00C13531" w:rsidRDefault="00C13531" w:rsidP="00C13531">
    <w:pPr>
      <w:pStyle w:val="Footer"/>
      <w:framePr w:wrap="around" w:vAnchor="text" w:hAnchor="margin" w:y="1"/>
      <w:ind w:right="360"/>
      <w:rPr>
        <w:rStyle w:val="PageNumber"/>
      </w:rPr>
    </w:pPr>
  </w:p>
  <w:p w:rsidR="00C13531" w:rsidRDefault="00C13531" w:rsidP="00C13531">
    <w:pPr>
      <w:pStyle w:val="Footer"/>
      <w:framePr w:wrap="around" w:vAnchor="text" w:hAnchor="margin" w:y="1"/>
      <w:ind w:right="360"/>
      <w:rPr>
        <w:rStyle w:val="PageNumber"/>
      </w:rPr>
    </w:pPr>
  </w:p>
  <w:p w:rsidR="00C13531" w:rsidRPr="00F741CF" w:rsidRDefault="00C13531" w:rsidP="00C13531">
    <w:pPr>
      <w:pStyle w:val="Footer"/>
      <w:framePr w:wrap="around" w:vAnchor="text" w:hAnchor="margin" w:xAlign="center" w:y="1"/>
      <w:ind w:right="360" w:firstLine="360"/>
      <w:rPr>
        <w:rStyle w:val="PageNumber"/>
        <w:sz w:val="18"/>
        <w:szCs w:val="18"/>
      </w:rPr>
    </w:pPr>
  </w:p>
  <w:p w:rsidR="00C13531" w:rsidRDefault="00C13531" w:rsidP="00C135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74D" w:rsidRDefault="00AE374D">
      <w:r>
        <w:separator/>
      </w:r>
    </w:p>
  </w:footnote>
  <w:footnote w:type="continuationSeparator" w:id="1">
    <w:p w:rsidR="00AE374D" w:rsidRDefault="00AE37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13531"/>
    <w:rsid w:val="0001099A"/>
    <w:rsid w:val="00036CBA"/>
    <w:rsid w:val="00037B7F"/>
    <w:rsid w:val="00051177"/>
    <w:rsid w:val="00065CF7"/>
    <w:rsid w:val="0008259B"/>
    <w:rsid w:val="000857E1"/>
    <w:rsid w:val="00093CEB"/>
    <w:rsid w:val="0009601B"/>
    <w:rsid w:val="000B7123"/>
    <w:rsid w:val="000C078C"/>
    <w:rsid w:val="000F26C7"/>
    <w:rsid w:val="000F3600"/>
    <w:rsid w:val="00100B2E"/>
    <w:rsid w:val="00140E95"/>
    <w:rsid w:val="00157F04"/>
    <w:rsid w:val="0016750E"/>
    <w:rsid w:val="00172AE3"/>
    <w:rsid w:val="00183A24"/>
    <w:rsid w:val="001C4E03"/>
    <w:rsid w:val="001D0F9D"/>
    <w:rsid w:val="001D23DA"/>
    <w:rsid w:val="001F54B4"/>
    <w:rsid w:val="0022499E"/>
    <w:rsid w:val="00297C50"/>
    <w:rsid w:val="002A4F91"/>
    <w:rsid w:val="002B6B2C"/>
    <w:rsid w:val="002C108E"/>
    <w:rsid w:val="002D34CF"/>
    <w:rsid w:val="003062B9"/>
    <w:rsid w:val="00307A5E"/>
    <w:rsid w:val="00321D0E"/>
    <w:rsid w:val="00325440"/>
    <w:rsid w:val="00330F60"/>
    <w:rsid w:val="00331BE6"/>
    <w:rsid w:val="00371EF4"/>
    <w:rsid w:val="00375097"/>
    <w:rsid w:val="003B4E7E"/>
    <w:rsid w:val="003B725A"/>
    <w:rsid w:val="00431663"/>
    <w:rsid w:val="004710CC"/>
    <w:rsid w:val="00487B82"/>
    <w:rsid w:val="00487C32"/>
    <w:rsid w:val="004947E7"/>
    <w:rsid w:val="004B04E8"/>
    <w:rsid w:val="004B770B"/>
    <w:rsid w:val="004E7706"/>
    <w:rsid w:val="004F4B5A"/>
    <w:rsid w:val="005011D2"/>
    <w:rsid w:val="00527971"/>
    <w:rsid w:val="00543815"/>
    <w:rsid w:val="00544C93"/>
    <w:rsid w:val="0055424B"/>
    <w:rsid w:val="0056337E"/>
    <w:rsid w:val="0059286A"/>
    <w:rsid w:val="0059318F"/>
    <w:rsid w:val="005A2241"/>
    <w:rsid w:val="005A6E7D"/>
    <w:rsid w:val="005B4844"/>
    <w:rsid w:val="005F3938"/>
    <w:rsid w:val="0061062C"/>
    <w:rsid w:val="00621369"/>
    <w:rsid w:val="0062374E"/>
    <w:rsid w:val="00641BB0"/>
    <w:rsid w:val="0064529B"/>
    <w:rsid w:val="0069363A"/>
    <w:rsid w:val="006B53DC"/>
    <w:rsid w:val="006D7CDA"/>
    <w:rsid w:val="00706488"/>
    <w:rsid w:val="00742FB9"/>
    <w:rsid w:val="00750309"/>
    <w:rsid w:val="0075492A"/>
    <w:rsid w:val="00757B97"/>
    <w:rsid w:val="00764951"/>
    <w:rsid w:val="00794C1D"/>
    <w:rsid w:val="007A023E"/>
    <w:rsid w:val="007C65EB"/>
    <w:rsid w:val="00800782"/>
    <w:rsid w:val="00835E1B"/>
    <w:rsid w:val="00836E3C"/>
    <w:rsid w:val="008541DD"/>
    <w:rsid w:val="0088638C"/>
    <w:rsid w:val="008A7C17"/>
    <w:rsid w:val="008C16C6"/>
    <w:rsid w:val="008D1E57"/>
    <w:rsid w:val="008D5FDB"/>
    <w:rsid w:val="008F5074"/>
    <w:rsid w:val="00912E16"/>
    <w:rsid w:val="00916309"/>
    <w:rsid w:val="009317BA"/>
    <w:rsid w:val="00932A9C"/>
    <w:rsid w:val="00957488"/>
    <w:rsid w:val="00962226"/>
    <w:rsid w:val="009764CC"/>
    <w:rsid w:val="009856F5"/>
    <w:rsid w:val="0099705A"/>
    <w:rsid w:val="009A5CA2"/>
    <w:rsid w:val="009A7AF1"/>
    <w:rsid w:val="009B3F53"/>
    <w:rsid w:val="009B5DC9"/>
    <w:rsid w:val="009D6F24"/>
    <w:rsid w:val="009D7529"/>
    <w:rsid w:val="00A0409F"/>
    <w:rsid w:val="00A10DA4"/>
    <w:rsid w:val="00A15C14"/>
    <w:rsid w:val="00A1668A"/>
    <w:rsid w:val="00A308A1"/>
    <w:rsid w:val="00A55DD9"/>
    <w:rsid w:val="00A60C58"/>
    <w:rsid w:val="00A83362"/>
    <w:rsid w:val="00AE374D"/>
    <w:rsid w:val="00B23910"/>
    <w:rsid w:val="00B27877"/>
    <w:rsid w:val="00B35B25"/>
    <w:rsid w:val="00B42569"/>
    <w:rsid w:val="00B44EB8"/>
    <w:rsid w:val="00B66CFC"/>
    <w:rsid w:val="00B76453"/>
    <w:rsid w:val="00BD2F8B"/>
    <w:rsid w:val="00BF15CD"/>
    <w:rsid w:val="00C13243"/>
    <w:rsid w:val="00C13531"/>
    <w:rsid w:val="00C44872"/>
    <w:rsid w:val="00C612CD"/>
    <w:rsid w:val="00C64239"/>
    <w:rsid w:val="00C70835"/>
    <w:rsid w:val="00CA2582"/>
    <w:rsid w:val="00CB39CD"/>
    <w:rsid w:val="00CB4503"/>
    <w:rsid w:val="00CC78E5"/>
    <w:rsid w:val="00CF580F"/>
    <w:rsid w:val="00D05625"/>
    <w:rsid w:val="00D23324"/>
    <w:rsid w:val="00D453FF"/>
    <w:rsid w:val="00D70CA9"/>
    <w:rsid w:val="00D84AFD"/>
    <w:rsid w:val="00D94074"/>
    <w:rsid w:val="00D9420B"/>
    <w:rsid w:val="00DA6BB9"/>
    <w:rsid w:val="00DB39EE"/>
    <w:rsid w:val="00DB7906"/>
    <w:rsid w:val="00DC43FE"/>
    <w:rsid w:val="00DD0AB1"/>
    <w:rsid w:val="00DD72C7"/>
    <w:rsid w:val="00DE0037"/>
    <w:rsid w:val="00DE5D1C"/>
    <w:rsid w:val="00DF4CC2"/>
    <w:rsid w:val="00E047E8"/>
    <w:rsid w:val="00E13295"/>
    <w:rsid w:val="00E149D1"/>
    <w:rsid w:val="00E23486"/>
    <w:rsid w:val="00E25981"/>
    <w:rsid w:val="00E25F30"/>
    <w:rsid w:val="00E32CDB"/>
    <w:rsid w:val="00E40259"/>
    <w:rsid w:val="00E533E0"/>
    <w:rsid w:val="00E54B7A"/>
    <w:rsid w:val="00E56A6D"/>
    <w:rsid w:val="00E71E91"/>
    <w:rsid w:val="00E74C0C"/>
    <w:rsid w:val="00EA0537"/>
    <w:rsid w:val="00EA0905"/>
    <w:rsid w:val="00EB1728"/>
    <w:rsid w:val="00EC3A76"/>
    <w:rsid w:val="00ED7F95"/>
    <w:rsid w:val="00EE72F7"/>
    <w:rsid w:val="00F03C37"/>
    <w:rsid w:val="00F53991"/>
    <w:rsid w:val="00F55837"/>
    <w:rsid w:val="00F94141"/>
    <w:rsid w:val="00F96DCC"/>
    <w:rsid w:val="00FA11E7"/>
    <w:rsid w:val="00FA692E"/>
    <w:rsid w:val="00FC7AEB"/>
    <w:rsid w:val="00FD01E1"/>
    <w:rsid w:val="00FF7A9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C58"/>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3531"/>
    <w:pPr>
      <w:ind w:firstLine="540"/>
      <w:jc w:val="both"/>
    </w:pPr>
    <w:rPr>
      <w:rFonts w:ascii=".VnTime" w:hAnsi=".VnTime"/>
      <w:szCs w:val="20"/>
    </w:rPr>
  </w:style>
  <w:style w:type="character" w:customStyle="1" w:styleId="BodyTextIndentChar">
    <w:name w:val="Body Text Indent Char"/>
    <w:link w:val="BodyTextIndent"/>
    <w:rsid w:val="00C13531"/>
    <w:rPr>
      <w:rFonts w:ascii=".VnTime" w:hAnsi=".VnTime"/>
      <w:sz w:val="28"/>
      <w:lang w:val="en-US" w:eastAsia="en-US" w:bidi="ar-SA"/>
    </w:rPr>
  </w:style>
  <w:style w:type="paragraph" w:styleId="BodyText">
    <w:name w:val="Body Text"/>
    <w:basedOn w:val="Normal"/>
    <w:rsid w:val="00C13531"/>
    <w:pPr>
      <w:spacing w:after="120"/>
      <w:jc w:val="center"/>
    </w:pPr>
    <w:rPr>
      <w:b/>
      <w:snapToGrid w:val="0"/>
      <w:color w:val="000000"/>
      <w:szCs w:val="24"/>
    </w:rPr>
  </w:style>
  <w:style w:type="character" w:styleId="PageNumber">
    <w:name w:val="page number"/>
    <w:basedOn w:val="DefaultParagraphFont"/>
    <w:rsid w:val="00C13531"/>
  </w:style>
  <w:style w:type="paragraph" w:styleId="Footer">
    <w:name w:val="footer"/>
    <w:basedOn w:val="Normal"/>
    <w:rsid w:val="00C13531"/>
    <w:pPr>
      <w:tabs>
        <w:tab w:val="center" w:pos="4320"/>
        <w:tab w:val="right" w:pos="8640"/>
      </w:tabs>
    </w:pPr>
    <w:rPr>
      <w:sz w:val="24"/>
      <w:szCs w:val="24"/>
    </w:rPr>
  </w:style>
  <w:style w:type="paragraph" w:customStyle="1" w:styleId="CharCharCharChar">
    <w:name w:val="Char Char Char Char"/>
    <w:basedOn w:val="Normal"/>
    <w:rsid w:val="00B42569"/>
    <w:pPr>
      <w:pageBreakBefore/>
      <w:spacing w:before="100" w:beforeAutospacing="1" w:after="100" w:afterAutospacing="1"/>
      <w:jc w:val="both"/>
    </w:pPr>
    <w:rPr>
      <w:rFonts w:ascii="Tahoma" w:hAnsi="Tahoma"/>
      <w:sz w:val="20"/>
      <w:szCs w:val="20"/>
    </w:rPr>
  </w:style>
  <w:style w:type="paragraph" w:styleId="BodyTextIndent2">
    <w:name w:val="Body Text Indent 2"/>
    <w:basedOn w:val="Normal"/>
    <w:link w:val="BodyTextIndent2Char"/>
    <w:rsid w:val="00EA0905"/>
    <w:pPr>
      <w:spacing w:after="120" w:line="480" w:lineRule="auto"/>
      <w:ind w:left="283"/>
    </w:pPr>
  </w:style>
  <w:style w:type="character" w:customStyle="1" w:styleId="BodyTextIndent2Char">
    <w:name w:val="Body Text Indent 2 Char"/>
    <w:basedOn w:val="DefaultParagraphFont"/>
    <w:link w:val="BodyTextIndent2"/>
    <w:rsid w:val="00EA0905"/>
    <w:rPr>
      <w:sz w:val="28"/>
      <w:szCs w:val="28"/>
      <w:lang w:val="en-US" w:eastAsia="en-US"/>
    </w:rPr>
  </w:style>
  <w:style w:type="character" w:styleId="Hyperlink">
    <w:name w:val="Hyperlink"/>
    <w:rsid w:val="00F9414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ED4E-6D04-4821-B00A-30A06C3B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HĐND TỈNH LÀO CAI</vt:lpstr>
    </vt:vector>
  </TitlesOfParts>
  <Company>Sky123.Org</Company>
  <LinksUpToDate>false</LinksUpToDate>
  <CharactersWithSpaces>7436</CharactersWithSpaces>
  <SharedDoc>false</SharedDoc>
  <HLinks>
    <vt:vector size="6" baseType="variant">
      <vt:variant>
        <vt:i4>6422635</vt:i4>
      </vt:variant>
      <vt:variant>
        <vt:i4>0</vt:i4>
      </vt:variant>
      <vt:variant>
        <vt:i4>0</vt:i4>
      </vt:variant>
      <vt:variant>
        <vt:i4>5</vt:i4>
      </vt:variant>
      <vt:variant>
        <vt:lpwstr>http://banqlkkt.caobang.gov.vn/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HĐND TỈNH LÀO CAI</dc:title>
  <dc:creator>Sky123.Org</dc:creator>
  <cp:lastModifiedBy>Administrator</cp:lastModifiedBy>
  <cp:revision>9</cp:revision>
  <cp:lastPrinted>2017-02-20T04:04:00Z</cp:lastPrinted>
  <dcterms:created xsi:type="dcterms:W3CDTF">2019-11-05T04:07:00Z</dcterms:created>
  <dcterms:modified xsi:type="dcterms:W3CDTF">2019-11-05T04:52:00Z</dcterms:modified>
</cp:coreProperties>
</file>